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5302FD" w14:textId="4110AB98" w:rsidR="00420A38" w:rsidRPr="003F09F0" w:rsidRDefault="00420A38" w:rsidP="00BF32F0">
      <w:pPr>
        <w:pStyle w:val="Header"/>
        <w:tabs>
          <w:tab w:val="clear" w:pos="9639"/>
          <w:tab w:val="right" w:pos="5954"/>
        </w:tabs>
        <w:spacing w:after="240"/>
      </w:pPr>
      <w:r>
        <w:rPr>
          <w:noProof/>
          <w:lang w:val="en-IE" w:eastAsia="en-IE"/>
        </w:rPr>
        <w:drawing>
          <wp:inline distT="0" distB="0" distL="0" distR="0" wp14:anchorId="5DEF5C6E" wp14:editId="1B309D78">
            <wp:extent cx="357809" cy="494969"/>
            <wp:effectExtent l="0" t="0" r="4445" b="635"/>
            <wp:docPr id="3" name="Picture 3" descr="IAL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LA Logo"/>
                    <pic:cNvPicPr>
                      <a:picLocks noChangeAspect="1" noChangeArrowheads="1"/>
                    </pic:cNvPicPr>
                  </pic:nvPicPr>
                  <pic:blipFill>
                    <a:blip r:embed="rId8"/>
                    <a:srcRect/>
                    <a:stretch>
                      <a:fillRect/>
                    </a:stretch>
                  </pic:blipFill>
                  <pic:spPr bwMode="auto">
                    <a:xfrm>
                      <a:off x="0" y="0"/>
                      <a:ext cx="359353" cy="497104"/>
                    </a:xfrm>
                    <a:prstGeom prst="rect">
                      <a:avLst/>
                    </a:prstGeom>
                    <a:noFill/>
                    <a:ln w="9525">
                      <a:noFill/>
                      <a:miter lim="800000"/>
                      <a:headEnd/>
                      <a:tailEnd/>
                    </a:ln>
                  </pic:spPr>
                </pic:pic>
              </a:graphicData>
            </a:graphic>
          </wp:inline>
        </w:drawing>
      </w:r>
      <w:r>
        <w:tab/>
      </w:r>
      <w:r>
        <w:tab/>
      </w:r>
      <w:r>
        <w:tab/>
        <w:t>Input paper</w:t>
      </w:r>
      <w:r w:rsidR="00037DF4">
        <w:t xml:space="preserve">: </w:t>
      </w:r>
      <w:r w:rsidRPr="00EA5A97">
        <w:rPr>
          <w:rStyle w:val="FootnoteReference"/>
          <w:sz w:val="22"/>
          <w:vertAlign w:val="superscript"/>
        </w:rPr>
        <w:footnoteReference w:id="1"/>
      </w:r>
      <w:r w:rsidRPr="00B15B24">
        <w:tab/>
      </w:r>
      <w:r>
        <w:t xml:space="preserve">     </w:t>
      </w:r>
      <w:r w:rsidR="0094737B">
        <w:t>ENAV16</w:t>
      </w:r>
      <w:r w:rsidR="00C216C3">
        <w:t>-9.29</w:t>
      </w:r>
    </w:p>
    <w:p w14:paraId="5A14DE03" w14:textId="77777777" w:rsidR="00BF32F0" w:rsidRDefault="00BF32F0" w:rsidP="00FE5674">
      <w:pPr>
        <w:pStyle w:val="BodyText"/>
        <w:tabs>
          <w:tab w:val="left" w:pos="2835"/>
        </w:tabs>
      </w:pPr>
    </w:p>
    <w:p w14:paraId="370CFB53" w14:textId="0056C39C" w:rsidR="0080294B" w:rsidRDefault="00E558C3" w:rsidP="00FE5674">
      <w:pPr>
        <w:pStyle w:val="BodyText"/>
        <w:tabs>
          <w:tab w:val="left" w:pos="2835"/>
        </w:tabs>
      </w:pPr>
      <w:r>
        <w:t xml:space="preserve">Input paper for the following Committee(s): </w:t>
      </w:r>
      <w:r>
        <w:tab/>
      </w:r>
      <w:r w:rsidRPr="00E558C3">
        <w:rPr>
          <w:sz w:val="18"/>
          <w:szCs w:val="18"/>
        </w:rPr>
        <w:t>check as appropriate</w:t>
      </w:r>
      <w:r>
        <w:rPr>
          <w:sz w:val="18"/>
          <w:szCs w:val="18"/>
        </w:rPr>
        <w:tab/>
      </w:r>
      <w:r>
        <w:tab/>
        <w:t>Purpose of paper:</w:t>
      </w:r>
    </w:p>
    <w:p w14:paraId="78786733" w14:textId="4BA3FE23" w:rsidR="0080294B" w:rsidRDefault="0080294B" w:rsidP="00037DF4">
      <w:pPr>
        <w:pStyle w:val="BodyText"/>
        <w:tabs>
          <w:tab w:val="left" w:pos="1843"/>
        </w:tabs>
        <w:rPr>
          <w:rFonts w:cs="Arial"/>
          <w:b/>
          <w:sz w:val="24"/>
          <w:szCs w:val="24"/>
        </w:rPr>
      </w:pPr>
      <w:proofErr w:type="gramStart"/>
      <w:r w:rsidRPr="0080294B">
        <w:rPr>
          <w:rFonts w:cs="Arial"/>
          <w:b/>
          <w:sz w:val="24"/>
          <w:szCs w:val="24"/>
        </w:rPr>
        <w:t>□</w:t>
      </w:r>
      <w:r w:rsidRPr="0080294B">
        <w:rPr>
          <w:rFonts w:cs="Arial"/>
          <w:sz w:val="24"/>
          <w:szCs w:val="24"/>
        </w:rPr>
        <w:t xml:space="preserve">  </w:t>
      </w:r>
      <w:r w:rsidRPr="0080294B">
        <w:rPr>
          <w:rFonts w:cs="Arial"/>
        </w:rPr>
        <w:t>ARM</w:t>
      </w:r>
      <w:proofErr w:type="gramEnd"/>
      <w:r w:rsidR="00037DF4">
        <w:rPr>
          <w:rFonts w:cs="Arial"/>
        </w:rPr>
        <w:tab/>
      </w:r>
      <w:r w:rsidRPr="0080294B">
        <w:rPr>
          <w:rFonts w:cs="Arial"/>
          <w:b/>
          <w:sz w:val="24"/>
          <w:szCs w:val="24"/>
        </w:rPr>
        <w:t>□</w:t>
      </w:r>
      <w:r w:rsidRPr="0080294B">
        <w:rPr>
          <w:rFonts w:cs="Arial"/>
          <w:sz w:val="24"/>
          <w:szCs w:val="24"/>
        </w:rPr>
        <w:t xml:space="preserve">  </w:t>
      </w:r>
      <w:r w:rsidRPr="0080294B">
        <w:rPr>
          <w:rFonts w:cs="Arial"/>
        </w:rPr>
        <w:t>ENG</w:t>
      </w:r>
      <w:r>
        <w:rPr>
          <w:rFonts w:cs="Arial"/>
        </w:rPr>
        <w:tab/>
      </w:r>
      <w:r>
        <w:rPr>
          <w:rFonts w:cs="Arial"/>
        </w:rPr>
        <w:tab/>
      </w:r>
      <w:r w:rsidRPr="0080294B">
        <w:rPr>
          <w:rFonts w:cs="Arial"/>
          <w:b/>
          <w:sz w:val="24"/>
          <w:szCs w:val="24"/>
        </w:rPr>
        <w:t>□</w:t>
      </w:r>
      <w:r w:rsidRPr="0080294B">
        <w:rPr>
          <w:rFonts w:cs="Arial"/>
          <w:sz w:val="24"/>
          <w:szCs w:val="24"/>
        </w:rPr>
        <w:t xml:space="preserve">  </w:t>
      </w:r>
      <w:r w:rsidRPr="003D2DC1">
        <w:rPr>
          <w:rFonts w:cs="Arial"/>
        </w:rPr>
        <w:t>PAP</w:t>
      </w:r>
      <w:r>
        <w:rPr>
          <w:rFonts w:cs="Arial"/>
          <w:sz w:val="24"/>
          <w:szCs w:val="24"/>
        </w:rPr>
        <w:tab/>
      </w:r>
      <w:r>
        <w:rPr>
          <w:rFonts w:cs="Arial"/>
          <w:sz w:val="24"/>
          <w:szCs w:val="24"/>
        </w:rPr>
        <w:tab/>
      </w:r>
      <w:r w:rsidR="00037DF4">
        <w:rPr>
          <w:rFonts w:cs="Arial"/>
          <w:sz w:val="24"/>
          <w:szCs w:val="24"/>
        </w:rPr>
        <w:tab/>
      </w:r>
      <w:r w:rsidR="00037DF4">
        <w:rPr>
          <w:rFonts w:cs="Arial"/>
          <w:sz w:val="24"/>
          <w:szCs w:val="24"/>
        </w:rPr>
        <w:tab/>
      </w:r>
      <w:r w:rsidR="00037DF4">
        <w:rPr>
          <w:rFonts w:cs="Arial"/>
          <w:sz w:val="24"/>
          <w:szCs w:val="24"/>
        </w:rPr>
        <w:tab/>
      </w:r>
      <w:r w:rsidR="00757952">
        <w:rPr>
          <w:rFonts w:cs="Arial"/>
          <w:b/>
          <w:sz w:val="24"/>
          <w:szCs w:val="24"/>
        </w:rPr>
        <w:t>X</w:t>
      </w:r>
      <w:r w:rsidRPr="0080294B">
        <w:rPr>
          <w:rFonts w:cs="Arial"/>
          <w:sz w:val="24"/>
          <w:szCs w:val="24"/>
        </w:rPr>
        <w:t xml:space="preserve">  Input</w:t>
      </w:r>
    </w:p>
    <w:p w14:paraId="0BC79547" w14:textId="0243ECDE" w:rsidR="0080294B" w:rsidRPr="0080294B" w:rsidRDefault="00757952" w:rsidP="00037DF4">
      <w:pPr>
        <w:pStyle w:val="BodyText"/>
        <w:tabs>
          <w:tab w:val="left" w:pos="1843"/>
        </w:tabs>
      </w:pPr>
      <w:r w:rsidRPr="00757952">
        <w:rPr>
          <w:rFonts w:cs="Arial"/>
          <w:b/>
          <w:sz w:val="24"/>
          <w:szCs w:val="24"/>
        </w:rPr>
        <w:t>X</w:t>
      </w:r>
      <w:r w:rsidR="0080294B" w:rsidRPr="00757952">
        <w:rPr>
          <w:rFonts w:cs="Arial"/>
          <w:b/>
          <w:sz w:val="24"/>
          <w:szCs w:val="24"/>
        </w:rPr>
        <w:t xml:space="preserve">  </w:t>
      </w:r>
      <w:r w:rsidR="0080294B" w:rsidRPr="00757952">
        <w:rPr>
          <w:rFonts w:cs="Arial"/>
          <w:b/>
        </w:rPr>
        <w:t>ENAV</w:t>
      </w:r>
      <w:r w:rsidR="0080294B">
        <w:rPr>
          <w:rFonts w:cs="Arial"/>
          <w:b/>
          <w:sz w:val="24"/>
          <w:szCs w:val="24"/>
        </w:rPr>
        <w:tab/>
      </w:r>
      <w:proofErr w:type="gramStart"/>
      <w:r w:rsidR="0080294B" w:rsidRPr="0080294B">
        <w:rPr>
          <w:rFonts w:cs="Arial"/>
          <w:b/>
          <w:sz w:val="24"/>
          <w:szCs w:val="24"/>
        </w:rPr>
        <w:t>□</w:t>
      </w:r>
      <w:r w:rsidR="0080294B" w:rsidRPr="0080294B">
        <w:rPr>
          <w:rFonts w:cs="Arial"/>
          <w:sz w:val="24"/>
          <w:szCs w:val="24"/>
        </w:rPr>
        <w:t xml:space="preserve">  </w:t>
      </w:r>
      <w:r w:rsidR="003D2DC1">
        <w:rPr>
          <w:rFonts w:cs="Arial"/>
        </w:rPr>
        <w:t>VTS</w:t>
      </w:r>
      <w:proofErr w:type="gramEnd"/>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80294B">
        <w:rPr>
          <w:rFonts w:cs="Arial"/>
          <w:sz w:val="24"/>
          <w:szCs w:val="24"/>
        </w:rPr>
        <w:tab/>
      </w:r>
      <w:r w:rsidR="00037DF4">
        <w:rPr>
          <w:rFonts w:cs="Arial"/>
          <w:sz w:val="24"/>
          <w:szCs w:val="24"/>
        </w:rPr>
        <w:tab/>
      </w:r>
      <w:r w:rsidR="00037DF4">
        <w:rPr>
          <w:rFonts w:cs="Arial"/>
          <w:sz w:val="24"/>
          <w:szCs w:val="24"/>
        </w:rPr>
        <w:tab/>
      </w:r>
      <w:r w:rsidR="0080294B" w:rsidRPr="0080294B">
        <w:rPr>
          <w:rFonts w:cs="Arial"/>
          <w:b/>
          <w:sz w:val="24"/>
          <w:szCs w:val="24"/>
        </w:rPr>
        <w:t>□</w:t>
      </w:r>
      <w:r w:rsidR="0080294B" w:rsidRPr="0080294B">
        <w:rPr>
          <w:rFonts w:cs="Arial"/>
          <w:sz w:val="24"/>
          <w:szCs w:val="24"/>
        </w:rPr>
        <w:t xml:space="preserve">  Information</w:t>
      </w:r>
    </w:p>
    <w:p w14:paraId="3E1C02C4" w14:textId="77777777" w:rsidR="0080294B" w:rsidRDefault="0080294B" w:rsidP="00FE5674">
      <w:pPr>
        <w:pStyle w:val="BodyText"/>
        <w:tabs>
          <w:tab w:val="left" w:pos="2835"/>
        </w:tabs>
      </w:pPr>
    </w:p>
    <w:p w14:paraId="4DD25FD9" w14:textId="442DF30C" w:rsidR="00A446C9" w:rsidRPr="00FE5674" w:rsidRDefault="00A446C9" w:rsidP="00FE5674">
      <w:pPr>
        <w:pStyle w:val="BodyText"/>
        <w:tabs>
          <w:tab w:val="left" w:pos="2835"/>
        </w:tabs>
      </w:pPr>
      <w:r w:rsidRPr="00FE5674">
        <w:t>Agenda item</w:t>
      </w:r>
      <w:r w:rsidR="00037DF4">
        <w:t xml:space="preserve"> </w:t>
      </w:r>
      <w:r w:rsidR="00037DF4" w:rsidRPr="00037DF4">
        <w:rPr>
          <w:rStyle w:val="FootnoteReference"/>
          <w:sz w:val="22"/>
          <w:vertAlign w:val="superscript"/>
        </w:rPr>
        <w:footnoteReference w:id="2"/>
      </w:r>
      <w:r w:rsidR="001C44A3" w:rsidRPr="00FE5674">
        <w:tab/>
      </w:r>
      <w:r w:rsidR="0080294B">
        <w:tab/>
      </w:r>
      <w:r w:rsidR="0080294B">
        <w:tab/>
      </w:r>
      <w:r w:rsidR="00C216C3">
        <w:t>9</w:t>
      </w:r>
    </w:p>
    <w:p w14:paraId="1AB3E246" w14:textId="27BA86B4" w:rsidR="00A446C9" w:rsidRPr="00FE5674" w:rsidRDefault="0080294B" w:rsidP="00FE5674">
      <w:pPr>
        <w:pStyle w:val="BodyText"/>
        <w:tabs>
          <w:tab w:val="left" w:pos="2835"/>
        </w:tabs>
      </w:pPr>
      <w:r>
        <w:t xml:space="preserve">Technical Domain / </w:t>
      </w:r>
      <w:r w:rsidR="00A446C9" w:rsidRPr="00FE5674">
        <w:t>Task Number</w:t>
      </w:r>
      <w:r w:rsidR="00037DF4">
        <w:t xml:space="preserve"> </w:t>
      </w:r>
      <w:r w:rsidR="00037DF4">
        <w:rPr>
          <w:vertAlign w:val="superscript"/>
        </w:rPr>
        <w:t>2</w:t>
      </w:r>
      <w:r w:rsidR="001C44A3" w:rsidRPr="00FE5674">
        <w:tab/>
      </w:r>
      <w:r w:rsidR="00757952">
        <w:rPr>
          <w:snapToGrid w:val="0"/>
        </w:rPr>
        <w:t>1</w:t>
      </w:r>
      <w:r w:rsidR="00757952">
        <w:rPr>
          <w:rFonts w:eastAsiaTheme="minorEastAsia"/>
          <w:snapToGrid w:val="0"/>
        </w:rPr>
        <w:t>.2.1</w:t>
      </w:r>
    </w:p>
    <w:p w14:paraId="01FC5420" w14:textId="2F9B03DB" w:rsidR="00362CD9" w:rsidRDefault="00362CD9" w:rsidP="00FE5674">
      <w:pPr>
        <w:pStyle w:val="BodyText"/>
        <w:tabs>
          <w:tab w:val="left" w:pos="2835"/>
        </w:tabs>
        <w:rPr>
          <w:color w:val="FF0000"/>
        </w:rPr>
      </w:pPr>
      <w:r w:rsidRPr="00FE5674">
        <w:t>Author(s)</w:t>
      </w:r>
      <w:r w:rsidR="00FE5674" w:rsidRPr="00FE5674">
        <w:t xml:space="preserve"> / Submitter(s)</w:t>
      </w:r>
      <w:r w:rsidRPr="00FE5674">
        <w:tab/>
      </w:r>
      <w:r w:rsidR="0080294B">
        <w:tab/>
      </w:r>
      <w:r w:rsidR="0080294B">
        <w:tab/>
      </w:r>
      <w:r w:rsidR="00757952">
        <w:t>IHO SNPWG / Eivind Mong</w:t>
      </w:r>
    </w:p>
    <w:p w14:paraId="60BCC120" w14:textId="77777777" w:rsidR="0080294B" w:rsidRDefault="0080294B" w:rsidP="00FE5674">
      <w:pPr>
        <w:pStyle w:val="BodyText"/>
        <w:tabs>
          <w:tab w:val="left" w:pos="2835"/>
        </w:tabs>
      </w:pPr>
    </w:p>
    <w:p w14:paraId="71F0E0DE" w14:textId="77777777" w:rsidR="00757952" w:rsidRDefault="00757952" w:rsidP="00757952">
      <w:pPr>
        <w:pStyle w:val="Heading2"/>
        <w:jc w:val="center"/>
      </w:pPr>
      <w:bookmarkStart w:id="0" w:name="_GoBack"/>
      <w:r>
        <w:t>Comments on ENAV 16-9.10 by the IHO Standardization of Nautical Publications WG</w:t>
      </w:r>
      <w:bookmarkEnd w:id="0"/>
      <w:r>
        <w:t xml:space="preserve"> (SNPWG)</w:t>
      </w:r>
    </w:p>
    <w:p w14:paraId="40EF9DA8" w14:textId="77777777" w:rsidR="00757952" w:rsidRDefault="00757952" w:rsidP="00757952">
      <w:pPr>
        <w:rPr>
          <w:rFonts w:ascii="Arial Narrow" w:hAnsi="Arial Narrow"/>
          <w:lang w:val="en-AU"/>
        </w:rPr>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2268"/>
        <w:gridCol w:w="5954"/>
      </w:tblGrid>
      <w:tr w:rsidR="00757952" w14:paraId="1CFC1A49" w14:textId="77777777" w:rsidTr="00757952">
        <w:tc>
          <w:tcPr>
            <w:tcW w:w="2268" w:type="dxa"/>
            <w:tcBorders>
              <w:top w:val="single" w:sz="4" w:space="0" w:color="auto"/>
              <w:left w:val="single" w:sz="4" w:space="0" w:color="auto"/>
              <w:bottom w:val="nil"/>
              <w:right w:val="nil"/>
            </w:tcBorders>
            <w:hideMark/>
          </w:tcPr>
          <w:p w14:paraId="43801D5C" w14:textId="77777777" w:rsidR="00757952" w:rsidRDefault="00757952">
            <w:pPr>
              <w:rPr>
                <w:rFonts w:ascii="Arial Narrow" w:hAnsi="Arial Narrow"/>
                <w:b/>
                <w:i/>
                <w:szCs w:val="24"/>
                <w:lang w:val="en-AU" w:eastAsia="en-US"/>
              </w:rPr>
            </w:pPr>
            <w:r>
              <w:rPr>
                <w:rFonts w:ascii="Arial Narrow" w:hAnsi="Arial Narrow"/>
                <w:lang w:val="en-AU"/>
              </w:rPr>
              <w:br w:type="page"/>
            </w:r>
            <w:r>
              <w:rPr>
                <w:rFonts w:ascii="Arial Narrow" w:hAnsi="Arial Narrow"/>
                <w:b/>
                <w:i/>
                <w:lang w:val="en-AU"/>
              </w:rPr>
              <w:t>Submitted by:</w:t>
            </w:r>
          </w:p>
        </w:tc>
        <w:tc>
          <w:tcPr>
            <w:tcW w:w="5954" w:type="dxa"/>
            <w:tcBorders>
              <w:top w:val="single" w:sz="4" w:space="0" w:color="auto"/>
              <w:left w:val="nil"/>
              <w:bottom w:val="nil"/>
              <w:right w:val="single" w:sz="4" w:space="0" w:color="auto"/>
            </w:tcBorders>
            <w:hideMark/>
          </w:tcPr>
          <w:p w14:paraId="24F31868" w14:textId="77777777" w:rsidR="00757952" w:rsidRDefault="00757952">
            <w:pPr>
              <w:rPr>
                <w:rFonts w:ascii="Arial Narrow" w:hAnsi="Arial Narrow"/>
                <w:szCs w:val="24"/>
                <w:lang w:val="en-AU" w:eastAsia="en-US"/>
              </w:rPr>
            </w:pPr>
            <w:r>
              <w:rPr>
                <w:rFonts w:ascii="Arial Narrow" w:hAnsi="Arial Narrow"/>
                <w:lang w:val="en-AU"/>
              </w:rPr>
              <w:t>IHO WG SNPWG</w:t>
            </w:r>
          </w:p>
        </w:tc>
      </w:tr>
      <w:tr w:rsidR="00757952" w14:paraId="370B759D" w14:textId="77777777" w:rsidTr="00757952">
        <w:tc>
          <w:tcPr>
            <w:tcW w:w="2268" w:type="dxa"/>
            <w:tcBorders>
              <w:top w:val="nil"/>
              <w:left w:val="single" w:sz="4" w:space="0" w:color="auto"/>
              <w:bottom w:val="nil"/>
              <w:right w:val="nil"/>
            </w:tcBorders>
            <w:hideMark/>
          </w:tcPr>
          <w:p w14:paraId="0E892775" w14:textId="77777777" w:rsidR="00757952" w:rsidRDefault="00757952">
            <w:pPr>
              <w:rPr>
                <w:rFonts w:ascii="Arial Narrow" w:hAnsi="Arial Narrow"/>
                <w:szCs w:val="24"/>
                <w:lang w:val="en-AU" w:eastAsia="en-US"/>
              </w:rPr>
            </w:pPr>
            <w:r>
              <w:rPr>
                <w:rFonts w:ascii="Arial Narrow" w:hAnsi="Arial Narrow"/>
                <w:b/>
                <w:i/>
                <w:lang w:val="en-AU"/>
              </w:rPr>
              <w:t>Executive Summary:</w:t>
            </w:r>
          </w:p>
        </w:tc>
        <w:tc>
          <w:tcPr>
            <w:tcW w:w="5954" w:type="dxa"/>
            <w:tcBorders>
              <w:top w:val="nil"/>
              <w:left w:val="nil"/>
              <w:bottom w:val="nil"/>
              <w:right w:val="single" w:sz="4" w:space="0" w:color="auto"/>
            </w:tcBorders>
            <w:hideMark/>
          </w:tcPr>
          <w:p w14:paraId="3EBB6B2D" w14:textId="77777777" w:rsidR="00757952" w:rsidRDefault="00757952">
            <w:pPr>
              <w:rPr>
                <w:rFonts w:ascii="Arial Narrow" w:hAnsi="Arial Narrow"/>
                <w:szCs w:val="24"/>
                <w:lang w:val="en-AU" w:eastAsia="en-US"/>
              </w:rPr>
            </w:pPr>
            <w:r>
              <w:rPr>
                <w:rFonts w:ascii="Arial Narrow" w:hAnsi="Arial Narrow"/>
                <w:lang w:val="en-AU"/>
              </w:rPr>
              <w:t>Background information on the current status of the Persistent Unique Identifier development initiative</w:t>
            </w:r>
          </w:p>
        </w:tc>
      </w:tr>
      <w:tr w:rsidR="00757952" w14:paraId="20734223" w14:textId="77777777" w:rsidTr="00757952">
        <w:tc>
          <w:tcPr>
            <w:tcW w:w="2268" w:type="dxa"/>
            <w:tcBorders>
              <w:top w:val="nil"/>
              <w:left w:val="single" w:sz="4" w:space="0" w:color="auto"/>
              <w:bottom w:val="nil"/>
              <w:right w:val="nil"/>
            </w:tcBorders>
            <w:hideMark/>
          </w:tcPr>
          <w:p w14:paraId="4DABE0D3" w14:textId="77777777" w:rsidR="00757952" w:rsidRDefault="00757952">
            <w:pPr>
              <w:rPr>
                <w:rFonts w:ascii="Arial Narrow" w:hAnsi="Arial Narrow"/>
                <w:b/>
                <w:i/>
                <w:szCs w:val="24"/>
                <w:lang w:val="en-AU" w:eastAsia="en-US"/>
              </w:rPr>
            </w:pPr>
            <w:r>
              <w:rPr>
                <w:rFonts w:ascii="Arial Narrow" w:hAnsi="Arial Narrow"/>
                <w:b/>
                <w:i/>
                <w:lang w:val="en-AU"/>
              </w:rPr>
              <w:t>Related Documents:</w:t>
            </w:r>
          </w:p>
        </w:tc>
        <w:tc>
          <w:tcPr>
            <w:tcW w:w="5954" w:type="dxa"/>
            <w:tcBorders>
              <w:top w:val="nil"/>
              <w:left w:val="nil"/>
              <w:bottom w:val="nil"/>
              <w:right w:val="single" w:sz="4" w:space="0" w:color="auto"/>
            </w:tcBorders>
            <w:hideMark/>
          </w:tcPr>
          <w:p w14:paraId="55DCE1DB" w14:textId="77777777" w:rsidR="00757952" w:rsidRDefault="0084782B">
            <w:pPr>
              <w:rPr>
                <w:rFonts w:ascii="Arial Narrow" w:hAnsi="Arial Narrow"/>
                <w:szCs w:val="24"/>
                <w:lang w:val="en-AU" w:eastAsia="en-US"/>
              </w:rPr>
            </w:pPr>
            <w:hyperlink r:id="rId9" w:history="1">
              <w:r w:rsidR="00757952">
                <w:rPr>
                  <w:rStyle w:val="Hyperlink"/>
                  <w:rFonts w:ascii="Arial Narrow" w:hAnsi="Arial Narrow"/>
                  <w:lang w:val="en-AU"/>
                </w:rPr>
                <w:t>http://www.iho.int/mtg_docs/com_wg/HSSC/HSSC6/HSSC6-05.4B_rev1_listoflights.pdf</w:t>
              </w:r>
            </w:hyperlink>
          </w:p>
          <w:p w14:paraId="15D17B48" w14:textId="77777777" w:rsidR="00757952" w:rsidRDefault="0084782B">
            <w:pPr>
              <w:rPr>
                <w:rFonts w:ascii="Arial Narrow" w:hAnsi="Arial Narrow"/>
                <w:szCs w:val="24"/>
                <w:lang w:val="en-AU" w:eastAsia="en-US"/>
              </w:rPr>
            </w:pPr>
            <w:hyperlink r:id="rId10" w:history="1">
              <w:r w:rsidR="00757952">
                <w:rPr>
                  <w:rStyle w:val="Hyperlink"/>
                  <w:rFonts w:ascii="Arial Narrow" w:hAnsi="Arial Narrow"/>
                  <w:lang w:val="en-AU"/>
                </w:rPr>
                <w:t>http://www.iho.int/mtg_docs/com_wg/HSSC/HSSC6/HSSC6_minutes_20150112_final.pdf</w:t>
              </w:r>
            </w:hyperlink>
            <w:r w:rsidR="00757952">
              <w:rPr>
                <w:rFonts w:ascii="Arial Narrow" w:hAnsi="Arial Narrow"/>
                <w:lang w:val="en-AU"/>
              </w:rPr>
              <w:t xml:space="preserve"> (Point 5.4B and action item HSSC6/24)</w:t>
            </w:r>
          </w:p>
        </w:tc>
      </w:tr>
      <w:tr w:rsidR="00757952" w14:paraId="74658D72" w14:textId="77777777" w:rsidTr="00757952">
        <w:tc>
          <w:tcPr>
            <w:tcW w:w="2268" w:type="dxa"/>
            <w:tcBorders>
              <w:top w:val="nil"/>
              <w:left w:val="single" w:sz="4" w:space="0" w:color="auto"/>
              <w:bottom w:val="single" w:sz="4" w:space="0" w:color="auto"/>
              <w:right w:val="nil"/>
            </w:tcBorders>
            <w:hideMark/>
          </w:tcPr>
          <w:p w14:paraId="00BD0F69" w14:textId="77777777" w:rsidR="00757952" w:rsidRDefault="00757952">
            <w:pPr>
              <w:rPr>
                <w:rFonts w:ascii="Arial Narrow" w:hAnsi="Arial Narrow"/>
                <w:b/>
                <w:i/>
                <w:szCs w:val="24"/>
                <w:lang w:val="en-AU" w:eastAsia="en-US"/>
              </w:rPr>
            </w:pPr>
            <w:r>
              <w:rPr>
                <w:rFonts w:ascii="Arial Narrow" w:hAnsi="Arial Narrow"/>
                <w:b/>
                <w:i/>
                <w:lang w:val="en-AU"/>
              </w:rPr>
              <w:t>Related Projects:</w:t>
            </w:r>
          </w:p>
        </w:tc>
        <w:tc>
          <w:tcPr>
            <w:tcW w:w="5954" w:type="dxa"/>
            <w:tcBorders>
              <w:top w:val="nil"/>
              <w:left w:val="nil"/>
              <w:bottom w:val="single" w:sz="4" w:space="0" w:color="auto"/>
              <w:right w:val="single" w:sz="4" w:space="0" w:color="auto"/>
            </w:tcBorders>
            <w:hideMark/>
          </w:tcPr>
          <w:p w14:paraId="7004E8B0" w14:textId="77777777" w:rsidR="00757952" w:rsidRDefault="00757952">
            <w:pPr>
              <w:rPr>
                <w:rFonts w:ascii="Arial Narrow" w:hAnsi="Arial Narrow"/>
                <w:szCs w:val="24"/>
                <w:lang w:val="en-AU" w:eastAsia="en-US"/>
              </w:rPr>
            </w:pPr>
            <w:r>
              <w:rPr>
                <w:rFonts w:ascii="Arial Narrow" w:hAnsi="Arial Narrow"/>
                <w:lang w:val="en-AU"/>
              </w:rPr>
              <w:t xml:space="preserve">S-100, </w:t>
            </w:r>
          </w:p>
          <w:p w14:paraId="075F94F7" w14:textId="77777777" w:rsidR="00757952" w:rsidRDefault="00757952">
            <w:pPr>
              <w:rPr>
                <w:rFonts w:ascii="Arial Narrow" w:hAnsi="Arial Narrow"/>
                <w:lang w:val="en-AU"/>
              </w:rPr>
            </w:pPr>
            <w:r>
              <w:rPr>
                <w:rFonts w:ascii="Arial Narrow" w:hAnsi="Arial Narrow"/>
                <w:lang w:val="en-AU"/>
              </w:rPr>
              <w:t xml:space="preserve">S-125 (Navigational Services), </w:t>
            </w:r>
          </w:p>
          <w:p w14:paraId="78E26B78" w14:textId="77777777" w:rsidR="00757952" w:rsidRDefault="00757952">
            <w:pPr>
              <w:rPr>
                <w:rFonts w:ascii="Arial Narrow" w:hAnsi="Arial Narrow"/>
                <w:lang w:val="en-AU"/>
              </w:rPr>
            </w:pPr>
            <w:r>
              <w:rPr>
                <w:rFonts w:ascii="Arial Narrow" w:hAnsi="Arial Narrow"/>
                <w:lang w:val="en-AU"/>
              </w:rPr>
              <w:t>IMO e-Navigation solution S3 in conjunction with Maritime Service Portfolios MSP 11 and MSP 12</w:t>
            </w:r>
          </w:p>
          <w:p w14:paraId="2141CD16" w14:textId="77777777" w:rsidR="00757952" w:rsidRDefault="00757952">
            <w:pPr>
              <w:rPr>
                <w:rFonts w:ascii="Arial Narrow" w:hAnsi="Arial Narrow"/>
                <w:szCs w:val="24"/>
                <w:lang w:val="en-AU" w:eastAsia="en-US"/>
              </w:rPr>
            </w:pPr>
            <w:r>
              <w:rPr>
                <w:rFonts w:ascii="Arial Narrow" w:hAnsi="Arial Narrow"/>
                <w:lang w:val="en-AU"/>
              </w:rPr>
              <w:t>S-201 development</w:t>
            </w:r>
          </w:p>
        </w:tc>
      </w:tr>
    </w:tbl>
    <w:p w14:paraId="76F0410D" w14:textId="77777777" w:rsidR="00757952" w:rsidRDefault="00757952" w:rsidP="00757952">
      <w:pPr>
        <w:pStyle w:val="Heading2"/>
        <w:rPr>
          <w:rFonts w:ascii="Arial Narrow" w:hAnsi="Arial Narrow"/>
          <w:lang w:val="en-AU" w:eastAsia="en-US"/>
        </w:rPr>
      </w:pPr>
      <w:bookmarkStart w:id="1" w:name="OLE_LINK1"/>
      <w:r>
        <w:t>Introduction / Background</w:t>
      </w:r>
    </w:p>
    <w:bookmarkEnd w:id="1"/>
    <w:p w14:paraId="79FC8CA0" w14:textId="77777777" w:rsidR="00757952" w:rsidRDefault="00757952" w:rsidP="00757952">
      <w:pPr>
        <w:rPr>
          <w:rFonts w:ascii="Arial Narrow" w:hAnsi="Arial Narrow"/>
          <w:lang w:val="en-AU"/>
        </w:rPr>
      </w:pPr>
      <w:r>
        <w:rPr>
          <w:rFonts w:ascii="Arial Narrow" w:hAnsi="Arial Narrow"/>
          <w:lang w:val="en-AU"/>
        </w:rPr>
        <w:t xml:space="preserve">The IHO published in 2004 the IHO Publication S-12 - </w:t>
      </w:r>
      <w:r>
        <w:rPr>
          <w:rFonts w:ascii="Arial Narrow" w:hAnsi="Arial Narrow"/>
          <w:bCs/>
          <w:i/>
        </w:rPr>
        <w:t>Standardization of List of Lights and Fog Signals</w:t>
      </w:r>
      <w:r>
        <w:rPr>
          <w:rFonts w:ascii="Arial Narrow" w:hAnsi="Arial Narrow"/>
        </w:rPr>
        <w:t xml:space="preserve">, </w:t>
      </w:r>
      <w:r>
        <w:rPr>
          <w:rFonts w:ascii="Arial Narrow" w:hAnsi="Arial Narrow"/>
          <w:lang w:val="en-AU"/>
        </w:rPr>
        <w:t>which recommends a standardised presentation of light information in the List of Lights publications.</w:t>
      </w:r>
    </w:p>
    <w:p w14:paraId="68ABCE88" w14:textId="77777777" w:rsidR="00757952" w:rsidRDefault="00757952" w:rsidP="00757952">
      <w:pPr>
        <w:rPr>
          <w:rFonts w:ascii="Arial Narrow" w:hAnsi="Arial Narrow"/>
          <w:lang w:val="en-AU"/>
        </w:rPr>
      </w:pPr>
    </w:p>
    <w:p w14:paraId="221F33B7" w14:textId="77777777" w:rsidR="00757952" w:rsidRDefault="00757952" w:rsidP="00757952">
      <w:pPr>
        <w:jc w:val="both"/>
        <w:rPr>
          <w:rFonts w:ascii="Arial Narrow" w:hAnsi="Arial Narrow"/>
          <w:lang w:val="en-AU"/>
        </w:rPr>
      </w:pPr>
      <w:r>
        <w:rPr>
          <w:rFonts w:ascii="Arial Narrow" w:hAnsi="Arial Narrow"/>
          <w:lang w:val="en-AU"/>
        </w:rPr>
        <w:t>The maintenance and extension of this publication, in relation, in particular, with the development of S-100, is a work item of the IHO Working Group on the Standardization of Nautical Publications (SNPWG) which reports to the IHO Hydrographic Services and Standards Committee (HSSC).</w:t>
      </w:r>
    </w:p>
    <w:p w14:paraId="220FB412" w14:textId="77777777" w:rsidR="00757952" w:rsidRDefault="00757952" w:rsidP="00757952">
      <w:pPr>
        <w:rPr>
          <w:rFonts w:ascii="Arial Narrow" w:hAnsi="Arial Narrow"/>
          <w:lang w:val="en-AU"/>
        </w:rPr>
      </w:pPr>
    </w:p>
    <w:p w14:paraId="4F7BE00B" w14:textId="77777777" w:rsidR="00757952" w:rsidRDefault="00757952" w:rsidP="00757952">
      <w:pPr>
        <w:rPr>
          <w:rFonts w:ascii="Arial Narrow" w:hAnsi="Arial Narrow"/>
          <w:lang w:val="en-AU"/>
        </w:rPr>
      </w:pPr>
      <w:r>
        <w:rPr>
          <w:rFonts w:ascii="Arial Narrow" w:hAnsi="Arial Narrow"/>
          <w:lang w:val="en-AU"/>
        </w:rPr>
        <w:t>The SNPWG considered the IMO e-Navigation strategy and in particular the e-Navigation solution S3 (improved reliability, resilience and integrity of bridge equipment and navigation information) which was relevant for a paper (HSSC6-5.4B) submitted to the HSSC6 for consideration.</w:t>
      </w:r>
    </w:p>
    <w:p w14:paraId="5E4EE71A" w14:textId="77777777" w:rsidR="00757952" w:rsidRDefault="00757952" w:rsidP="00757952">
      <w:pPr>
        <w:rPr>
          <w:rFonts w:ascii="Arial Narrow" w:hAnsi="Arial Narrow"/>
          <w:lang w:val="en-AU"/>
        </w:rPr>
      </w:pPr>
    </w:p>
    <w:p w14:paraId="1404B9DF" w14:textId="77777777" w:rsidR="00757952" w:rsidRDefault="00757952" w:rsidP="00757952">
      <w:pPr>
        <w:rPr>
          <w:rFonts w:ascii="Arial Narrow" w:hAnsi="Arial Narrow"/>
          <w:lang w:val="en-AU"/>
        </w:rPr>
      </w:pPr>
      <w:r>
        <w:rPr>
          <w:rFonts w:ascii="Arial Narrow" w:hAnsi="Arial Narrow"/>
          <w:lang w:val="en-AU"/>
        </w:rPr>
        <w:t>In addition, the Maritime Service Portfolios MSP11 and 12 (nautical chart service and nautical publications service) have been considered in accordance with the said paper.</w:t>
      </w:r>
    </w:p>
    <w:p w14:paraId="145B694B" w14:textId="77777777" w:rsidR="00757952" w:rsidRDefault="00757952" w:rsidP="00757952">
      <w:pPr>
        <w:rPr>
          <w:rFonts w:ascii="Arial Narrow" w:hAnsi="Arial Narrow"/>
          <w:lang w:val="en-AU"/>
        </w:rPr>
      </w:pPr>
    </w:p>
    <w:p w14:paraId="11E32E74" w14:textId="77777777" w:rsidR="00757952" w:rsidRDefault="00757952" w:rsidP="00757952">
      <w:pPr>
        <w:rPr>
          <w:rFonts w:ascii="Arial Narrow" w:hAnsi="Arial Narrow"/>
          <w:lang w:val="en-AU"/>
        </w:rPr>
      </w:pPr>
      <w:r>
        <w:rPr>
          <w:rFonts w:ascii="Arial Narrow" w:hAnsi="Arial Narrow"/>
          <w:lang w:val="en-AU"/>
        </w:rPr>
        <w:t>A sub-WG of the IALA Committee – Aids to Navigation Requirements &amp; Management (ARM) is working on creating an S-100 based data model for light information “Aids to Navigation Information” (S-201).</w:t>
      </w:r>
    </w:p>
    <w:p w14:paraId="5379C133" w14:textId="77777777" w:rsidR="00757952" w:rsidRDefault="00757952" w:rsidP="00757952">
      <w:pPr>
        <w:rPr>
          <w:rFonts w:ascii="Arial Narrow" w:hAnsi="Arial Narrow"/>
          <w:lang w:val="en-AU"/>
        </w:rPr>
      </w:pPr>
    </w:p>
    <w:p w14:paraId="00F5B00D" w14:textId="77777777" w:rsidR="00757952" w:rsidRDefault="00757952" w:rsidP="00757952">
      <w:pPr>
        <w:pStyle w:val="Heading2"/>
        <w:rPr>
          <w:rFonts w:ascii="Arial Narrow" w:hAnsi="Arial Narrow"/>
          <w:lang w:val="en-AU"/>
        </w:rPr>
      </w:pPr>
      <w:r>
        <w:t>Analysis / Discussion</w:t>
      </w:r>
    </w:p>
    <w:p w14:paraId="6C6F9320" w14:textId="77777777" w:rsidR="00757952" w:rsidRDefault="00757952" w:rsidP="00757952">
      <w:pPr>
        <w:rPr>
          <w:rFonts w:ascii="Arial Narrow" w:hAnsi="Arial Narrow"/>
          <w:lang w:val="en-AU"/>
        </w:rPr>
      </w:pPr>
      <w:r>
        <w:rPr>
          <w:rFonts w:ascii="Arial Narrow" w:hAnsi="Arial Narrow"/>
          <w:lang w:val="en-AU"/>
        </w:rPr>
        <w:t>The paper HSSC6-5.4B highlighted the problems HOs may be confronted with if the existing light numbering schema is liable to changes by either the producing HO (national light numbers) or the UKHO (international light number).</w:t>
      </w:r>
    </w:p>
    <w:p w14:paraId="0F6C1982" w14:textId="77777777" w:rsidR="00757952" w:rsidRDefault="00757952" w:rsidP="00757952">
      <w:pPr>
        <w:rPr>
          <w:rFonts w:ascii="Arial Narrow" w:hAnsi="Arial Narrow"/>
          <w:lang w:val="en-AU"/>
        </w:rPr>
      </w:pPr>
    </w:p>
    <w:p w14:paraId="411B3804" w14:textId="77777777" w:rsidR="00757952" w:rsidRDefault="00757952" w:rsidP="00757952">
      <w:pPr>
        <w:rPr>
          <w:rFonts w:ascii="Arial Narrow" w:hAnsi="Arial Narrow"/>
          <w:lang w:val="en-AU"/>
        </w:rPr>
      </w:pPr>
      <w:r>
        <w:rPr>
          <w:rFonts w:ascii="Arial Narrow" w:hAnsi="Arial Narrow"/>
          <w:lang w:val="en-AU"/>
        </w:rPr>
        <w:t>The said paper discussed the advantages of a Persistent Unique Identifier for lights and possible consequences. The support of the IMO e-Navigation solution S3 was highlighted.</w:t>
      </w:r>
    </w:p>
    <w:p w14:paraId="4C40B63D" w14:textId="77777777" w:rsidR="00757952" w:rsidRDefault="00757952" w:rsidP="00757952">
      <w:pPr>
        <w:rPr>
          <w:rFonts w:ascii="Arial Narrow" w:hAnsi="Arial Narrow"/>
          <w:lang w:val="en-AU"/>
        </w:rPr>
      </w:pPr>
      <w:r>
        <w:rPr>
          <w:rFonts w:ascii="Arial Narrow" w:hAnsi="Arial Narrow"/>
          <w:lang w:val="en-AU"/>
        </w:rPr>
        <w:t>In addition, the possible effects on the workload for HOs which are deriving their products from a single database were mentioned.</w:t>
      </w:r>
    </w:p>
    <w:p w14:paraId="699C1242" w14:textId="77777777" w:rsidR="00757952" w:rsidRDefault="00757952" w:rsidP="00757952">
      <w:pPr>
        <w:rPr>
          <w:rFonts w:ascii="Arial Narrow" w:hAnsi="Arial Narrow"/>
          <w:szCs w:val="24"/>
          <w:lang w:val="en-AU"/>
        </w:rPr>
      </w:pPr>
      <w:r>
        <w:rPr>
          <w:rFonts w:ascii="Arial Narrow" w:hAnsi="Arial Narrow"/>
          <w:lang w:val="en-AU"/>
        </w:rPr>
        <w:t xml:space="preserve">It was considered that some technical questions remain open for the time being. </w:t>
      </w:r>
    </w:p>
    <w:p w14:paraId="23754E7C" w14:textId="77777777" w:rsidR="00757952" w:rsidRDefault="00757952" w:rsidP="00757952">
      <w:pPr>
        <w:rPr>
          <w:rFonts w:ascii="Arial Narrow" w:hAnsi="Arial Narrow"/>
          <w:lang w:val="en-AU"/>
        </w:rPr>
      </w:pPr>
    </w:p>
    <w:p w14:paraId="6650C316" w14:textId="77777777" w:rsidR="00757952" w:rsidRDefault="00757952" w:rsidP="00757952">
      <w:pPr>
        <w:rPr>
          <w:rFonts w:ascii="Arial Narrow" w:hAnsi="Arial Narrow"/>
          <w:lang w:val="en-AU"/>
        </w:rPr>
      </w:pPr>
      <w:r>
        <w:rPr>
          <w:rFonts w:ascii="Arial Narrow" w:hAnsi="Arial Narrow"/>
          <w:lang w:val="en-AU"/>
        </w:rPr>
        <w:t>The paper proposed the establishment of a close IALA-IHO liaison on the light numbering development in particular and additionally, the harmonisation of the light numbering systems between the IHO and the IALA to the widest extent. Having been contacted before HSSC6, the relevant IALA Committee – Aids to Navigation Requirements &amp; Management (ARM) – indicated that the initial response is favourable but the proposal needs consideration by the next Committee meeting which was scheduled by the end of November 2014.</w:t>
      </w:r>
    </w:p>
    <w:p w14:paraId="43590D3E" w14:textId="77777777" w:rsidR="00757952" w:rsidRDefault="00757952" w:rsidP="00757952">
      <w:pPr>
        <w:rPr>
          <w:rFonts w:ascii="Arial Narrow" w:hAnsi="Arial Narrow"/>
          <w:szCs w:val="24"/>
          <w:lang w:val="en-AU"/>
        </w:rPr>
      </w:pPr>
    </w:p>
    <w:p w14:paraId="4A5DCCBA" w14:textId="77777777" w:rsidR="00757952" w:rsidRDefault="00757952" w:rsidP="00757952">
      <w:pPr>
        <w:rPr>
          <w:rFonts w:ascii="Arial Narrow" w:hAnsi="Arial Narrow"/>
          <w:lang w:val="en-AU"/>
        </w:rPr>
      </w:pPr>
      <w:r>
        <w:rPr>
          <w:rFonts w:ascii="Arial Narrow" w:hAnsi="Arial Narrow"/>
          <w:lang w:val="en-AU"/>
        </w:rPr>
        <w:t>Considering the IALA work on S-201 and bearing in mind the unsolved technical aspects, the HSSC6 decided that the SNPWG initiative was premature and that the SNPWG should monitor the work of the relevant IALA Committee. The action item (HSS6/24) is on SNPWG (Nautical Information Provision WG as the SNPWG substitute from July 2015 onwards) to report the development status of the S-201 in that regard.</w:t>
      </w:r>
    </w:p>
    <w:p w14:paraId="0B83E72C" w14:textId="77777777" w:rsidR="00757952" w:rsidRDefault="00757952" w:rsidP="00757952">
      <w:pPr>
        <w:rPr>
          <w:rFonts w:ascii="Arial Narrow" w:hAnsi="Arial Narrow"/>
          <w:lang w:val="en-AU"/>
        </w:rPr>
      </w:pPr>
    </w:p>
    <w:p w14:paraId="5E48302A" w14:textId="77777777" w:rsidR="00757952" w:rsidRDefault="00757952" w:rsidP="00757952">
      <w:pPr>
        <w:rPr>
          <w:rFonts w:ascii="Arial Narrow" w:hAnsi="Arial Narrow"/>
          <w:lang w:val="en-AU"/>
        </w:rPr>
      </w:pPr>
      <w:r>
        <w:rPr>
          <w:rFonts w:ascii="Arial Narrow" w:hAnsi="Arial Narrow"/>
          <w:lang w:val="en-AU"/>
        </w:rPr>
        <w:t xml:space="preserve">In the meantime, the SNPWG is in close contact with </w:t>
      </w:r>
      <w:proofErr w:type="spellStart"/>
      <w:r>
        <w:rPr>
          <w:rFonts w:ascii="Arial Narrow" w:hAnsi="Arial Narrow"/>
          <w:lang w:val="en-AU"/>
        </w:rPr>
        <w:t>Dr.</w:t>
      </w:r>
      <w:proofErr w:type="spellEnd"/>
      <w:r>
        <w:rPr>
          <w:rFonts w:ascii="Arial Narrow" w:hAnsi="Arial Narrow"/>
          <w:lang w:val="en-AU"/>
        </w:rPr>
        <w:t xml:space="preserve"> Nick Ward as the Chair of the S-201 development team.</w:t>
      </w:r>
    </w:p>
    <w:p w14:paraId="126CA968" w14:textId="77777777" w:rsidR="00757952" w:rsidRDefault="00757952" w:rsidP="00757952">
      <w:pPr>
        <w:rPr>
          <w:rFonts w:ascii="Arial Narrow" w:hAnsi="Arial Narrow"/>
          <w:lang w:val="en-AU"/>
        </w:rPr>
      </w:pPr>
    </w:p>
    <w:p w14:paraId="6DABAEB4" w14:textId="77777777" w:rsidR="00757952" w:rsidRDefault="00757952" w:rsidP="00757952">
      <w:pPr>
        <w:pStyle w:val="Heading2"/>
        <w:rPr>
          <w:rFonts w:ascii="Arial Narrow" w:hAnsi="Arial Narrow"/>
          <w:lang w:val="en-AU"/>
        </w:rPr>
      </w:pPr>
      <w:r>
        <w:t>Conclusions and Recommended Actions</w:t>
      </w:r>
    </w:p>
    <w:p w14:paraId="6E5A2ADF" w14:textId="77777777" w:rsidR="00757952" w:rsidRDefault="00757952" w:rsidP="00757952">
      <w:pPr>
        <w:rPr>
          <w:rFonts w:ascii="Arial Narrow" w:hAnsi="Arial Narrow"/>
          <w:lang w:val="en-AU"/>
        </w:rPr>
      </w:pPr>
      <w:r>
        <w:rPr>
          <w:rFonts w:ascii="Arial Narrow" w:hAnsi="Arial Narrow"/>
          <w:lang w:val="en-AU"/>
        </w:rPr>
        <w:t>During the S-201 development, the responsible IALA Committee should discuss whether the use of a Persistent Unique Identifier for an AtoN is appropriate.</w:t>
      </w:r>
    </w:p>
    <w:p w14:paraId="142B940B" w14:textId="77777777" w:rsidR="00757952" w:rsidRDefault="00757952" w:rsidP="00757952">
      <w:pPr>
        <w:rPr>
          <w:rFonts w:ascii="Arial Narrow" w:hAnsi="Arial Narrow"/>
          <w:lang w:val="en-AU"/>
        </w:rPr>
      </w:pPr>
    </w:p>
    <w:p w14:paraId="66DB142E" w14:textId="77777777" w:rsidR="00757952" w:rsidRDefault="00757952" w:rsidP="00757952">
      <w:pPr>
        <w:rPr>
          <w:rFonts w:ascii="Arial Narrow" w:hAnsi="Arial Narrow"/>
          <w:lang w:val="en-AU"/>
        </w:rPr>
      </w:pPr>
      <w:r>
        <w:rPr>
          <w:rFonts w:ascii="Arial Narrow" w:hAnsi="Arial Narrow"/>
          <w:lang w:val="en-AU"/>
        </w:rPr>
        <w:t>According to the action item HSSC6/24, the SNPWG/NIPWG wished to be continuously informed on the S-201 development progress.</w:t>
      </w:r>
    </w:p>
    <w:p w14:paraId="7DA20CA9" w14:textId="77777777" w:rsidR="00757952" w:rsidRDefault="00757952" w:rsidP="00757952">
      <w:pPr>
        <w:rPr>
          <w:rFonts w:ascii="Arial Narrow" w:hAnsi="Arial Narrow"/>
          <w:lang w:val="en-AU"/>
        </w:rPr>
      </w:pPr>
    </w:p>
    <w:p w14:paraId="4CCCBB6F" w14:textId="77777777" w:rsidR="00757952" w:rsidRDefault="00757952" w:rsidP="00757952">
      <w:pPr>
        <w:pStyle w:val="Heading2"/>
        <w:rPr>
          <w:rFonts w:ascii="Arial Narrow" w:hAnsi="Arial Narrow"/>
          <w:lang w:val="en-AU"/>
        </w:rPr>
      </w:pPr>
      <w:r>
        <w:t>Action Required of ENAV16</w:t>
      </w:r>
    </w:p>
    <w:p w14:paraId="653F7DE5" w14:textId="77777777" w:rsidR="00757952" w:rsidRDefault="00757952" w:rsidP="00757952">
      <w:pPr>
        <w:rPr>
          <w:rFonts w:ascii="Arial Narrow" w:hAnsi="Arial Narrow"/>
          <w:lang w:val="en-AU"/>
        </w:rPr>
      </w:pPr>
      <w:r>
        <w:rPr>
          <w:rFonts w:ascii="Arial Narrow" w:hAnsi="Arial Narrow"/>
          <w:lang w:val="en-AU"/>
        </w:rPr>
        <w:t>ENAV16 is invited to:</w:t>
      </w:r>
    </w:p>
    <w:p w14:paraId="4FCD9B99" w14:textId="77777777" w:rsidR="00757952" w:rsidRDefault="00757952" w:rsidP="00757952">
      <w:pPr>
        <w:pStyle w:val="ListParagraph"/>
        <w:numPr>
          <w:ilvl w:val="0"/>
          <w:numId w:val="45"/>
        </w:numPr>
        <w:rPr>
          <w:rFonts w:ascii="Arial Narrow" w:hAnsi="Arial Narrow"/>
          <w:lang w:val="en-AU"/>
        </w:rPr>
      </w:pPr>
      <w:r>
        <w:rPr>
          <w:rFonts w:ascii="Arial Narrow" w:hAnsi="Arial Narrow"/>
          <w:lang w:val="en-AU"/>
        </w:rPr>
        <w:t>take note of the paper,</w:t>
      </w:r>
    </w:p>
    <w:p w14:paraId="1DD71B85" w14:textId="77777777" w:rsidR="00757952" w:rsidRDefault="00757952" w:rsidP="00757952">
      <w:pPr>
        <w:pStyle w:val="ListParagraph"/>
        <w:numPr>
          <w:ilvl w:val="0"/>
          <w:numId w:val="45"/>
        </w:numPr>
        <w:rPr>
          <w:rFonts w:ascii="Arial Narrow" w:hAnsi="Arial Narrow"/>
          <w:lang w:val="en-AU"/>
        </w:rPr>
      </w:pPr>
      <w:r>
        <w:rPr>
          <w:rFonts w:ascii="Arial Narrow" w:hAnsi="Arial Narrow"/>
          <w:lang w:val="en-AU"/>
        </w:rPr>
        <w:t>consider a mechanism to liaise with SNPWG/NIPWG on the S-201 development progress,</w:t>
      </w:r>
    </w:p>
    <w:p w14:paraId="6047761C" w14:textId="77777777" w:rsidR="00757952" w:rsidRDefault="00757952" w:rsidP="00757952">
      <w:pPr>
        <w:pStyle w:val="ListParagraph"/>
        <w:numPr>
          <w:ilvl w:val="0"/>
          <w:numId w:val="45"/>
        </w:numPr>
        <w:rPr>
          <w:rFonts w:ascii="Arial Narrow" w:hAnsi="Arial Narrow"/>
          <w:lang w:val="en-AU"/>
        </w:rPr>
      </w:pPr>
      <w:proofErr w:type="gramStart"/>
      <w:r>
        <w:rPr>
          <w:rFonts w:ascii="Arial Narrow" w:hAnsi="Arial Narrow"/>
          <w:lang w:val="en-AU"/>
        </w:rPr>
        <w:t>consider</w:t>
      </w:r>
      <w:proofErr w:type="gramEnd"/>
      <w:r>
        <w:rPr>
          <w:rFonts w:ascii="Arial Narrow" w:hAnsi="Arial Narrow"/>
          <w:lang w:val="en-AU"/>
        </w:rPr>
        <w:t xml:space="preserve"> further actions as appropriate.</w:t>
      </w:r>
    </w:p>
    <w:p w14:paraId="4E66B2BB" w14:textId="77777777" w:rsidR="00757952" w:rsidRPr="00757952" w:rsidRDefault="00757952" w:rsidP="00FE5674">
      <w:pPr>
        <w:pStyle w:val="BodyText"/>
        <w:tabs>
          <w:tab w:val="left" w:pos="2835"/>
        </w:tabs>
        <w:rPr>
          <w:lang w:val="en-AU"/>
        </w:rPr>
      </w:pPr>
    </w:p>
    <w:sectPr w:rsidR="00757952" w:rsidRPr="00757952" w:rsidSect="00757952">
      <w:pgSz w:w="11906" w:h="16838"/>
      <w:pgMar w:top="709" w:right="99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3A41C" w14:textId="77777777" w:rsidR="0084782B" w:rsidRDefault="0084782B" w:rsidP="00362CD9">
      <w:r>
        <w:separator/>
      </w:r>
    </w:p>
  </w:endnote>
  <w:endnote w:type="continuationSeparator" w:id="0">
    <w:p w14:paraId="01DF6A20" w14:textId="77777777" w:rsidR="0084782B" w:rsidRDefault="0084782B"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6B788" w14:textId="77777777" w:rsidR="0084782B" w:rsidRDefault="0084782B" w:rsidP="00362CD9">
      <w:r>
        <w:separator/>
      </w:r>
    </w:p>
  </w:footnote>
  <w:footnote w:type="continuationSeparator" w:id="0">
    <w:p w14:paraId="3B68D1A2" w14:textId="77777777" w:rsidR="0084782B" w:rsidRDefault="0084782B" w:rsidP="00362CD9">
      <w:r>
        <w:continuationSeparator/>
      </w:r>
    </w:p>
  </w:footnote>
  <w:footnote w:id="1">
    <w:p w14:paraId="741FE09C" w14:textId="56CC54BF" w:rsidR="00420A38" w:rsidRPr="00EA5A97" w:rsidRDefault="00420A38">
      <w:pPr>
        <w:pStyle w:val="FootnoteText"/>
        <w:rPr>
          <w:lang w:val="en-US"/>
        </w:rPr>
      </w:pPr>
      <w:r>
        <w:rPr>
          <w:rStyle w:val="FootnoteReference"/>
        </w:rPr>
        <w:footnoteRef/>
      </w:r>
      <w:r>
        <w:t xml:space="preserve"> </w:t>
      </w:r>
      <w:r w:rsidR="00EA5A97" w:rsidRPr="00420A38">
        <w:rPr>
          <w:sz w:val="16"/>
          <w:szCs w:val="16"/>
        </w:rPr>
        <w:t>Input document number, to be assigned by the Committee Secretary</w:t>
      </w:r>
    </w:p>
  </w:footnote>
  <w:footnote w:id="2">
    <w:p w14:paraId="13DFA22D" w14:textId="3BCF7A71" w:rsidR="00037DF4" w:rsidRPr="00037DF4" w:rsidRDefault="00037DF4">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B700072"/>
    <w:lvl w:ilvl="0">
      <w:start w:val="1"/>
      <w:numFmt w:val="lowerRoman"/>
      <w:lvlText w:val="%1)"/>
      <w:lvlJc w:val="left"/>
      <w:pPr>
        <w:tabs>
          <w:tab w:val="num" w:pos="720"/>
        </w:tabs>
        <w:ind w:left="720" w:hanging="360"/>
      </w:pPr>
      <w:rPr>
        <w:rFonts w:hint="default"/>
      </w:rPr>
    </w:lvl>
  </w:abstractNum>
  <w:abstractNum w:abstractNumId="1">
    <w:nsid w:val="FFFFFF88"/>
    <w:multiLevelType w:val="singleLevel"/>
    <w:tmpl w:val="D4CAF136"/>
    <w:lvl w:ilvl="0">
      <w:start w:val="1"/>
      <w:numFmt w:val="lowerLetter"/>
      <w:lvlText w:val="%1)"/>
      <w:lvlJc w:val="left"/>
      <w:pPr>
        <w:tabs>
          <w:tab w:val="num" w:pos="360"/>
        </w:tabs>
        <w:ind w:left="360" w:hanging="360"/>
      </w:pPr>
    </w:lvl>
  </w:abstractNum>
  <w:abstractNum w:abstractNumId="2">
    <w:nsid w:val="03A21C71"/>
    <w:multiLevelType w:val="hybridMultilevel"/>
    <w:tmpl w:val="56B00160"/>
    <w:lvl w:ilvl="0" w:tplc="81E8417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outline w:val="0"/>
        <w:shadow w:val="0"/>
        <w:emboss w:val="0"/>
        <w:imprint w:val="0"/>
        <w:noProof w:val="0"/>
        <w:vanish w:val="0"/>
        <w:color w:val="auto"/>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19C37E91"/>
    <w:multiLevelType w:val="multilevel"/>
    <w:tmpl w:val="1E702340"/>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7">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nsid w:val="60585238"/>
    <w:multiLevelType w:val="multilevel"/>
    <w:tmpl w:val="98F0A0DE"/>
    <w:lvl w:ilvl="0">
      <w:start w:val="1"/>
      <w:numFmt w:val="upperLetter"/>
      <w:pStyle w:val="Annex"/>
      <w:lvlText w:val="ANNEX %1"/>
      <w:lvlJc w:val="left"/>
      <w:pPr>
        <w:ind w:left="360" w:hanging="360"/>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623E2711"/>
    <w:multiLevelType w:val="hybridMultilevel"/>
    <w:tmpl w:val="BE00B6E0"/>
    <w:lvl w:ilvl="0" w:tplc="0407000F">
      <w:start w:val="1"/>
      <w:numFmt w:val="decimal"/>
      <w:lvlText w:val="%1."/>
      <w:lvlJc w:val="left"/>
      <w:pPr>
        <w:ind w:left="774" w:hanging="360"/>
      </w:pPr>
    </w:lvl>
    <w:lvl w:ilvl="1" w:tplc="04070019">
      <w:start w:val="1"/>
      <w:numFmt w:val="lowerLetter"/>
      <w:lvlText w:val="%2."/>
      <w:lvlJc w:val="left"/>
      <w:pPr>
        <w:ind w:left="1494" w:hanging="360"/>
      </w:pPr>
    </w:lvl>
    <w:lvl w:ilvl="2" w:tplc="0407001B">
      <w:start w:val="1"/>
      <w:numFmt w:val="lowerRoman"/>
      <w:lvlText w:val="%3."/>
      <w:lvlJc w:val="right"/>
      <w:pPr>
        <w:ind w:left="2214" w:hanging="180"/>
      </w:pPr>
    </w:lvl>
    <w:lvl w:ilvl="3" w:tplc="0407000F">
      <w:start w:val="1"/>
      <w:numFmt w:val="decimal"/>
      <w:lvlText w:val="%4."/>
      <w:lvlJc w:val="left"/>
      <w:pPr>
        <w:ind w:left="2934" w:hanging="360"/>
      </w:pPr>
    </w:lvl>
    <w:lvl w:ilvl="4" w:tplc="04070019">
      <w:start w:val="1"/>
      <w:numFmt w:val="lowerLetter"/>
      <w:lvlText w:val="%5."/>
      <w:lvlJc w:val="left"/>
      <w:pPr>
        <w:ind w:left="3654" w:hanging="360"/>
      </w:pPr>
    </w:lvl>
    <w:lvl w:ilvl="5" w:tplc="0407001B">
      <w:start w:val="1"/>
      <w:numFmt w:val="lowerRoman"/>
      <w:lvlText w:val="%6."/>
      <w:lvlJc w:val="right"/>
      <w:pPr>
        <w:ind w:left="4374" w:hanging="180"/>
      </w:pPr>
    </w:lvl>
    <w:lvl w:ilvl="6" w:tplc="0407000F">
      <w:start w:val="1"/>
      <w:numFmt w:val="decimal"/>
      <w:lvlText w:val="%7."/>
      <w:lvlJc w:val="left"/>
      <w:pPr>
        <w:ind w:left="5094" w:hanging="360"/>
      </w:pPr>
    </w:lvl>
    <w:lvl w:ilvl="7" w:tplc="04070019">
      <w:start w:val="1"/>
      <w:numFmt w:val="lowerLetter"/>
      <w:lvlText w:val="%8."/>
      <w:lvlJc w:val="left"/>
      <w:pPr>
        <w:ind w:left="5814" w:hanging="360"/>
      </w:pPr>
    </w:lvl>
    <w:lvl w:ilvl="8" w:tplc="0407001B">
      <w:start w:val="1"/>
      <w:numFmt w:val="lowerRoman"/>
      <w:lvlText w:val="%9."/>
      <w:lvlJc w:val="right"/>
      <w:pPr>
        <w:ind w:left="6534" w:hanging="180"/>
      </w:pPr>
    </w:lvl>
  </w:abstractNum>
  <w:abstractNum w:abstractNumId="23">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num w:numId="1">
    <w:abstractNumId w:val="1"/>
  </w:num>
  <w:num w:numId="2">
    <w:abstractNumId w:val="0"/>
  </w:num>
  <w:num w:numId="3">
    <w:abstractNumId w:val="7"/>
  </w:num>
  <w:num w:numId="4">
    <w:abstractNumId w:val="21"/>
  </w:num>
  <w:num w:numId="5">
    <w:abstractNumId w:val="15"/>
  </w:num>
  <w:num w:numId="6">
    <w:abstractNumId w:val="4"/>
  </w:num>
  <w:num w:numId="7">
    <w:abstractNumId w:val="24"/>
  </w:num>
  <w:num w:numId="8">
    <w:abstractNumId w:val="10"/>
  </w:num>
  <w:num w:numId="9">
    <w:abstractNumId w:val="8"/>
  </w:num>
  <w:num w:numId="10">
    <w:abstractNumId w:val="17"/>
  </w:num>
  <w:num w:numId="11">
    <w:abstractNumId w:val="16"/>
  </w:num>
  <w:num w:numId="12">
    <w:abstractNumId w:val="14"/>
  </w:num>
  <w:num w:numId="13">
    <w:abstractNumId w:val="23"/>
  </w:num>
  <w:num w:numId="14">
    <w:abstractNumId w:val="5"/>
  </w:num>
  <w:num w:numId="15">
    <w:abstractNumId w:val="25"/>
  </w:num>
  <w:num w:numId="16">
    <w:abstractNumId w:val="13"/>
  </w:num>
  <w:num w:numId="17">
    <w:abstractNumId w:val="6"/>
  </w:num>
  <w:num w:numId="18">
    <w:abstractNumId w:val="19"/>
  </w:num>
  <w:num w:numId="19">
    <w:abstractNumId w:val="13"/>
  </w:num>
  <w:num w:numId="20">
    <w:abstractNumId w:val="13"/>
  </w:num>
  <w:num w:numId="21">
    <w:abstractNumId w:val="13"/>
  </w:num>
  <w:num w:numId="22">
    <w:abstractNumId w:val="13"/>
  </w:num>
  <w:num w:numId="23">
    <w:abstractNumId w:val="20"/>
  </w:num>
  <w:num w:numId="24">
    <w:abstractNumId w:val="3"/>
  </w:num>
  <w:num w:numId="25">
    <w:abstractNumId w:val="3"/>
  </w:num>
  <w:num w:numId="26">
    <w:abstractNumId w:val="3"/>
  </w:num>
  <w:num w:numId="27">
    <w:abstractNumId w:val="9"/>
  </w:num>
  <w:num w:numId="28">
    <w:abstractNumId w:val="9"/>
  </w:num>
  <w:num w:numId="29">
    <w:abstractNumId w:val="9"/>
  </w:num>
  <w:num w:numId="30">
    <w:abstractNumId w:val="9"/>
  </w:num>
  <w:num w:numId="31">
    <w:abstractNumId w:val="9"/>
  </w:num>
  <w:num w:numId="32">
    <w:abstractNumId w:val="9"/>
  </w:num>
  <w:num w:numId="33">
    <w:abstractNumId w:val="18"/>
  </w:num>
  <w:num w:numId="34">
    <w:abstractNumId w:val="18"/>
  </w:num>
  <w:num w:numId="35">
    <w:abstractNumId w:val="18"/>
  </w:num>
  <w:num w:numId="36">
    <w:abstractNumId w:val="11"/>
  </w:num>
  <w:num w:numId="37">
    <w:abstractNumId w:val="5"/>
  </w:num>
  <w:num w:numId="38">
    <w:abstractNumId w:val="14"/>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2"/>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101E"/>
    <w:rsid w:val="00037DF4"/>
    <w:rsid w:val="0004700E"/>
    <w:rsid w:val="00070C13"/>
    <w:rsid w:val="00084F33"/>
    <w:rsid w:val="000A77A7"/>
    <w:rsid w:val="000B1707"/>
    <w:rsid w:val="000C1B3E"/>
    <w:rsid w:val="00177F4D"/>
    <w:rsid w:val="00180DDA"/>
    <w:rsid w:val="001B2A2D"/>
    <w:rsid w:val="001B737D"/>
    <w:rsid w:val="001C44A3"/>
    <w:rsid w:val="001E0E15"/>
    <w:rsid w:val="001F528A"/>
    <w:rsid w:val="001F704E"/>
    <w:rsid w:val="002125B0"/>
    <w:rsid w:val="00243228"/>
    <w:rsid w:val="00251483"/>
    <w:rsid w:val="00255CAA"/>
    <w:rsid w:val="00264305"/>
    <w:rsid w:val="002A0346"/>
    <w:rsid w:val="002A4487"/>
    <w:rsid w:val="002B49E9"/>
    <w:rsid w:val="002D3E8B"/>
    <w:rsid w:val="002D4575"/>
    <w:rsid w:val="002D5C0C"/>
    <w:rsid w:val="002E03D1"/>
    <w:rsid w:val="002E6B74"/>
    <w:rsid w:val="002E6FCA"/>
    <w:rsid w:val="00356CD0"/>
    <w:rsid w:val="00362CD9"/>
    <w:rsid w:val="003761CA"/>
    <w:rsid w:val="00380DAF"/>
    <w:rsid w:val="003B28F5"/>
    <w:rsid w:val="003B7B7D"/>
    <w:rsid w:val="003C54CB"/>
    <w:rsid w:val="003C7A2A"/>
    <w:rsid w:val="003D2DC1"/>
    <w:rsid w:val="003D69D0"/>
    <w:rsid w:val="003F2918"/>
    <w:rsid w:val="003F430E"/>
    <w:rsid w:val="0041088C"/>
    <w:rsid w:val="00420A38"/>
    <w:rsid w:val="00431B19"/>
    <w:rsid w:val="004661AD"/>
    <w:rsid w:val="004C1A4A"/>
    <w:rsid w:val="004D1D85"/>
    <w:rsid w:val="004D3C3A"/>
    <w:rsid w:val="004E1CD1"/>
    <w:rsid w:val="005107EB"/>
    <w:rsid w:val="00521345"/>
    <w:rsid w:val="005234C3"/>
    <w:rsid w:val="00526DF0"/>
    <w:rsid w:val="00545CC4"/>
    <w:rsid w:val="00551FFF"/>
    <w:rsid w:val="005607A2"/>
    <w:rsid w:val="0057198B"/>
    <w:rsid w:val="00597FAE"/>
    <w:rsid w:val="005B32A3"/>
    <w:rsid w:val="005C0D44"/>
    <w:rsid w:val="005C566C"/>
    <w:rsid w:val="005C7E69"/>
    <w:rsid w:val="005E262D"/>
    <w:rsid w:val="005F23D3"/>
    <w:rsid w:val="005F7E20"/>
    <w:rsid w:val="006652C3"/>
    <w:rsid w:val="00691FD0"/>
    <w:rsid w:val="00692148"/>
    <w:rsid w:val="006C5948"/>
    <w:rsid w:val="006F2A74"/>
    <w:rsid w:val="007118F5"/>
    <w:rsid w:val="00712AA4"/>
    <w:rsid w:val="00721AA1"/>
    <w:rsid w:val="00724B67"/>
    <w:rsid w:val="007547F8"/>
    <w:rsid w:val="00757952"/>
    <w:rsid w:val="00765622"/>
    <w:rsid w:val="00770B6C"/>
    <w:rsid w:val="00783FEA"/>
    <w:rsid w:val="0080294B"/>
    <w:rsid w:val="0082480E"/>
    <w:rsid w:val="0084782B"/>
    <w:rsid w:val="00850293"/>
    <w:rsid w:val="00851373"/>
    <w:rsid w:val="00851BA6"/>
    <w:rsid w:val="0085654D"/>
    <w:rsid w:val="00861160"/>
    <w:rsid w:val="0086654F"/>
    <w:rsid w:val="008A356F"/>
    <w:rsid w:val="008A4653"/>
    <w:rsid w:val="008A4717"/>
    <w:rsid w:val="008A50CC"/>
    <w:rsid w:val="008B4A15"/>
    <w:rsid w:val="008D1694"/>
    <w:rsid w:val="008D79CB"/>
    <w:rsid w:val="008F07BC"/>
    <w:rsid w:val="0092692B"/>
    <w:rsid w:val="00943E9C"/>
    <w:rsid w:val="0094737B"/>
    <w:rsid w:val="00953F4D"/>
    <w:rsid w:val="00960BB8"/>
    <w:rsid w:val="00964F5C"/>
    <w:rsid w:val="009831C0"/>
    <w:rsid w:val="00A0389B"/>
    <w:rsid w:val="00A446C9"/>
    <w:rsid w:val="00A635D6"/>
    <w:rsid w:val="00A777BC"/>
    <w:rsid w:val="00A8553A"/>
    <w:rsid w:val="00A93AED"/>
    <w:rsid w:val="00AA1EAF"/>
    <w:rsid w:val="00B226F2"/>
    <w:rsid w:val="00B274DF"/>
    <w:rsid w:val="00B56BDF"/>
    <w:rsid w:val="00B65812"/>
    <w:rsid w:val="00B85CD6"/>
    <w:rsid w:val="00B90A27"/>
    <w:rsid w:val="00B9554D"/>
    <w:rsid w:val="00BB2B9F"/>
    <w:rsid w:val="00BB7D9E"/>
    <w:rsid w:val="00BD3CB8"/>
    <w:rsid w:val="00BD4E6F"/>
    <w:rsid w:val="00BF32F0"/>
    <w:rsid w:val="00BF4DCE"/>
    <w:rsid w:val="00C05CE5"/>
    <w:rsid w:val="00C216C3"/>
    <w:rsid w:val="00C6171E"/>
    <w:rsid w:val="00CA6F2C"/>
    <w:rsid w:val="00CF1871"/>
    <w:rsid w:val="00D1133E"/>
    <w:rsid w:val="00D17A34"/>
    <w:rsid w:val="00D26628"/>
    <w:rsid w:val="00D332B3"/>
    <w:rsid w:val="00D55207"/>
    <w:rsid w:val="00D92B45"/>
    <w:rsid w:val="00D95962"/>
    <w:rsid w:val="00DC389B"/>
    <w:rsid w:val="00DE2FEE"/>
    <w:rsid w:val="00E00BE9"/>
    <w:rsid w:val="00E22A11"/>
    <w:rsid w:val="00E31E5C"/>
    <w:rsid w:val="00E558C3"/>
    <w:rsid w:val="00E55927"/>
    <w:rsid w:val="00E912A6"/>
    <w:rsid w:val="00EA4844"/>
    <w:rsid w:val="00EA4D9C"/>
    <w:rsid w:val="00EA5A97"/>
    <w:rsid w:val="00EB75EE"/>
    <w:rsid w:val="00EE4C1D"/>
    <w:rsid w:val="00EF3685"/>
    <w:rsid w:val="00F159EB"/>
    <w:rsid w:val="00F25BF4"/>
    <w:rsid w:val="00F267DB"/>
    <w:rsid w:val="00F46F6F"/>
    <w:rsid w:val="00F60608"/>
    <w:rsid w:val="00F62217"/>
    <w:rsid w:val="00FB17A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A6AA77"/>
  <w15:docId w15:val="{7D142891-4FEA-4867-8276-25014046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D332B3"/>
    <w:pPr>
      <w:keepNext/>
      <w:numPr>
        <w:numId w:val="37"/>
      </w:numPr>
      <w:spacing w:before="240" w:after="240"/>
      <w:outlineLvl w:val="0"/>
    </w:pPr>
    <w:rPr>
      <w:b/>
      <w:caps/>
      <w:kern w:val="28"/>
      <w:sz w:val="24"/>
      <w:lang w:eastAsia="de-DE"/>
    </w:rPr>
  </w:style>
  <w:style w:type="paragraph" w:styleId="Heading2">
    <w:name w:val="heading 2"/>
    <w:basedOn w:val="Normal"/>
    <w:next w:val="BodyText"/>
    <w:link w:val="Heading2Char"/>
    <w:qFormat/>
    <w:rsid w:val="00D332B3"/>
    <w:pPr>
      <w:numPr>
        <w:ilvl w:val="1"/>
        <w:numId w:val="37"/>
      </w:numPr>
      <w:spacing w:before="120" w:after="120"/>
      <w:outlineLvl w:val="1"/>
    </w:pPr>
    <w:rPr>
      <w:b/>
    </w:rPr>
  </w:style>
  <w:style w:type="paragraph" w:styleId="Heading3">
    <w:name w:val="heading 3"/>
    <w:basedOn w:val="Normal"/>
    <w:next w:val="BodyText"/>
    <w:link w:val="Heading3Char"/>
    <w:qFormat/>
    <w:rsid w:val="00D332B3"/>
    <w:pPr>
      <w:keepNext/>
      <w:numPr>
        <w:ilvl w:val="2"/>
        <w:numId w:val="37"/>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37"/>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37"/>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37"/>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37"/>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37"/>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37"/>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5654D"/>
    <w:rPr>
      <w:rFonts w:ascii="Arial" w:hAnsi="Arial" w:cs="Calibri"/>
      <w:b/>
      <w:caps/>
      <w:kern w:val="28"/>
      <w:sz w:val="24"/>
      <w:lang w:eastAsia="de-DE"/>
    </w:rPr>
  </w:style>
  <w:style w:type="character" w:customStyle="1" w:styleId="Heading2Char">
    <w:name w:val="Heading 2 Char"/>
    <w:link w:val="Heading2"/>
    <w:rsid w:val="00E00BE9"/>
    <w:rPr>
      <w:rFonts w:ascii="Arial" w:hAnsi="Arial" w:cs="Calibri"/>
      <w:b/>
      <w:lang w:eastAsia="en-GB"/>
    </w:rPr>
  </w:style>
  <w:style w:type="paragraph" w:customStyle="1" w:styleId="Annex">
    <w:name w:val="Annex"/>
    <w:basedOn w:val="Heading1"/>
    <w:next w:val="Normal"/>
    <w:qFormat/>
    <w:rsid w:val="008D1694"/>
    <w:pPr>
      <w:numPr>
        <w:numId w:val="4"/>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10"/>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11"/>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38"/>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13"/>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Cs w:val="20"/>
      <w:lang w:eastAsia="de-DE"/>
    </w:rPr>
  </w:style>
  <w:style w:type="character" w:customStyle="1" w:styleId="Heading4Char">
    <w:name w:val="Heading 4 Char"/>
    <w:link w:val="Heading4"/>
    <w:rsid w:val="00E00BE9"/>
    <w:rPr>
      <w:rFonts w:ascii="Arial" w:hAnsi="Arial" w:cs="Calibri"/>
      <w:szCs w:val="20"/>
      <w:lang w:val="en-US" w:eastAsia="de-DE"/>
    </w:rPr>
  </w:style>
  <w:style w:type="character" w:customStyle="1" w:styleId="Heading5Char">
    <w:name w:val="Heading 5 Char"/>
    <w:link w:val="Heading5"/>
    <w:rsid w:val="00D332B3"/>
    <w:rPr>
      <w:rFonts w:ascii="Arial" w:eastAsia="Times New Roman" w:hAnsi="Arial" w:cs="Times New Roman"/>
      <w:szCs w:val="20"/>
      <w:lang w:val="de-DE" w:eastAsia="de-DE"/>
    </w:rPr>
  </w:style>
  <w:style w:type="character" w:customStyle="1" w:styleId="Heading6Char">
    <w:name w:val="Heading 6 Char"/>
    <w:link w:val="Heading6"/>
    <w:rsid w:val="00E00BE9"/>
    <w:rPr>
      <w:rFonts w:ascii="Arial" w:hAnsi="Arial" w:cs="Calibri"/>
      <w:szCs w:val="20"/>
      <w:lang w:val="de-DE" w:eastAsia="de-DE"/>
    </w:rPr>
  </w:style>
  <w:style w:type="character" w:customStyle="1" w:styleId="Heading7Char">
    <w:name w:val="Heading 7 Char"/>
    <w:link w:val="Heading7"/>
    <w:rsid w:val="00E00BE9"/>
    <w:rPr>
      <w:rFonts w:ascii="Arial" w:hAnsi="Arial" w:cs="Calibri"/>
      <w:szCs w:val="20"/>
      <w:lang w:val="de-DE" w:eastAsia="de-DE"/>
    </w:rPr>
  </w:style>
  <w:style w:type="character" w:customStyle="1" w:styleId="Heading8Char">
    <w:name w:val="Heading 8 Char"/>
    <w:link w:val="Heading8"/>
    <w:rsid w:val="00E00BE9"/>
    <w:rPr>
      <w:rFonts w:ascii="Arial" w:hAnsi="Arial" w:cs="Calibri"/>
      <w:szCs w:val="20"/>
      <w:lang w:val="de-DE" w:eastAsia="de-DE"/>
    </w:rPr>
  </w:style>
  <w:style w:type="character" w:customStyle="1" w:styleId="Heading9Char">
    <w:name w:val="Heading 9 Char"/>
    <w:link w:val="Heading9"/>
    <w:rsid w:val="00E00BE9"/>
    <w:rPr>
      <w:rFonts w:ascii="Arial" w:hAnsi="Arial" w:cs="Calibri"/>
      <w:szCs w:val="20"/>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2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2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8"/>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2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7"/>
      </w:numPr>
      <w:spacing w:after="120"/>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
    <w:name w:val="equation"/>
    <w:basedOn w:val="Normal"/>
    <w:next w:val="BodyText"/>
    <w:qFormat/>
    <w:rsid w:val="008A50CC"/>
    <w:pPr>
      <w:keepNext/>
      <w:numPr>
        <w:numId w:val="36"/>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5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43"/>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qFormat/>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semiHidden/>
    <w:unhideWhenUsed/>
    <w:rsid w:val="00EA5A97"/>
    <w:rPr>
      <w:sz w:val="20"/>
      <w:szCs w:val="20"/>
    </w:rPr>
  </w:style>
  <w:style w:type="character" w:customStyle="1" w:styleId="CommentTextChar">
    <w:name w:val="Comment Text Char"/>
    <w:basedOn w:val="DefaultParagraphFont"/>
    <w:link w:val="CommentText"/>
    <w:uiPriority w:val="99"/>
    <w:semiHidden/>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79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iho.int/mtg_docs/com_wg/HSSC/HSSC6/HSSC6_minutes_20150112_final.pdf" TargetMode="External"/><Relationship Id="rId4" Type="http://schemas.openxmlformats.org/officeDocument/2006/relationships/settings" Target="settings.xml"/><Relationship Id="rId9" Type="http://schemas.openxmlformats.org/officeDocument/2006/relationships/hyperlink" Target="http://www.iho.int/mtg_docs/com_wg/HSSC/HSSC6/HSSC6-05.4B_rev1_listoflight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CE2B9-BD40-4164-981B-0E91FEE40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Jeppesen</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2</cp:revision>
  <dcterms:created xsi:type="dcterms:W3CDTF">2015-04-19T13:45:00Z</dcterms:created>
  <dcterms:modified xsi:type="dcterms:W3CDTF">2015-04-19T13:45:00Z</dcterms:modified>
</cp:coreProperties>
</file>